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77777777" w:rsidR="00C869F3" w:rsidRDefault="00C869F3" w:rsidP="00C869F3">
      <w:pPr>
        <w:spacing w:after="480"/>
      </w:pPr>
      <w:r>
        <w:rPr>
          <w:noProof/>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71"/>
        <w:gridCol w:w="4938"/>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E16F3BA" w:rsidR="00333FAA" w:rsidRPr="005E3A10" w:rsidRDefault="00DB2558" w:rsidP="00F06E4E">
            <w:pPr>
              <w:pStyle w:val="Heading1"/>
              <w:outlineLvl w:val="0"/>
              <w:rPr>
                <w:szCs w:val="24"/>
              </w:rPr>
            </w:pPr>
            <w:r>
              <w:t>GOVERNANCE, AUDIT, RISK MANAGEMENT &amp; STANDARDS COMMITTEE</w:t>
            </w:r>
          </w:p>
        </w:tc>
      </w:tr>
      <w:tr w:rsidR="00333FAA" w14:paraId="67D60646" w14:textId="77777777" w:rsidTr="00EB3CF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0D1139C3" w:rsidR="00333FAA" w:rsidRPr="005E3A10" w:rsidRDefault="00DB2558" w:rsidP="00A53B04">
            <w:pPr>
              <w:rPr>
                <w:rFonts w:cs="Arial"/>
                <w:szCs w:val="24"/>
              </w:rPr>
            </w:pPr>
            <w:r>
              <w:rPr>
                <w:rFonts w:cs="Arial"/>
                <w:szCs w:val="24"/>
              </w:rPr>
              <w:t>30 November 2022</w:t>
            </w:r>
          </w:p>
        </w:tc>
      </w:tr>
      <w:tr w:rsidR="00333FAA" w14:paraId="3CC97725" w14:textId="77777777" w:rsidTr="00EB3CF0">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1BFF9F2C" w14:textId="1084C82A" w:rsidR="00DB2558" w:rsidRDefault="0053455E" w:rsidP="00A53B04">
            <w:pPr>
              <w:rPr>
                <w:rFonts w:cs="Arial"/>
                <w:szCs w:val="24"/>
              </w:rPr>
            </w:pPr>
            <w:r>
              <w:rPr>
                <w:rFonts w:cs="Arial"/>
                <w:szCs w:val="24"/>
              </w:rPr>
              <w:t xml:space="preserve">Draft </w:t>
            </w:r>
            <w:r w:rsidR="00DB2558">
              <w:rPr>
                <w:rFonts w:cs="Arial"/>
                <w:szCs w:val="24"/>
              </w:rPr>
              <w:t>Corporate Anti-Fraud and Corruption Strategy 2022-26</w:t>
            </w:r>
            <w:r w:rsidR="00F06D90">
              <w:rPr>
                <w:rFonts w:cs="Arial"/>
                <w:szCs w:val="24"/>
              </w:rPr>
              <w:t xml:space="preserve"> </w:t>
            </w:r>
            <w:r>
              <w:rPr>
                <w:rFonts w:cs="Arial"/>
                <w:szCs w:val="24"/>
              </w:rPr>
              <w:t>consultation</w:t>
            </w:r>
          </w:p>
          <w:p w14:paraId="6D8FB2C1" w14:textId="21A397B4" w:rsidR="00333FAA" w:rsidRPr="005E3A10" w:rsidRDefault="00DB2558" w:rsidP="00A53B04">
            <w:pPr>
              <w:rPr>
                <w:rFonts w:cs="Arial"/>
                <w:szCs w:val="24"/>
              </w:rPr>
            </w:pPr>
            <w:r>
              <w:rPr>
                <w:rFonts w:cs="Arial"/>
                <w:szCs w:val="24"/>
              </w:rPr>
              <w:t xml:space="preserve"> </w:t>
            </w:r>
          </w:p>
        </w:tc>
      </w:tr>
      <w:tr w:rsidR="00333FAA" w14:paraId="32449166" w14:textId="77777777" w:rsidTr="00EB3CF0">
        <w:tc>
          <w:tcPr>
            <w:tcW w:w="3456" w:type="dxa"/>
          </w:tcPr>
          <w:p w14:paraId="17ECA8FA" w14:textId="4A65AA14" w:rsidR="00333FAA" w:rsidRPr="00C13A5F" w:rsidRDefault="00333FAA" w:rsidP="00C869F3">
            <w:pPr>
              <w:pStyle w:val="Infotext"/>
              <w:spacing w:after="240"/>
              <w:rPr>
                <w:rFonts w:ascii="Arial Black" w:hAnsi="Arial Black" w:cs="Arial"/>
              </w:rPr>
            </w:pPr>
          </w:p>
        </w:tc>
        <w:tc>
          <w:tcPr>
            <w:tcW w:w="5054" w:type="dxa"/>
          </w:tcPr>
          <w:p w14:paraId="3EADF2B3" w14:textId="77777777" w:rsidR="00333FAA" w:rsidRPr="005E3A10" w:rsidRDefault="00333FAA" w:rsidP="00A53B04">
            <w:pPr>
              <w:rPr>
                <w:rFonts w:cs="Arial"/>
                <w:szCs w:val="24"/>
              </w:rPr>
            </w:pPr>
          </w:p>
        </w:tc>
      </w:tr>
      <w:tr w:rsidR="001C7E35" w14:paraId="79E96200" w14:textId="77777777" w:rsidTr="00EB3CF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649EB528" w14:textId="78242505" w:rsidR="001C7E35" w:rsidRPr="005E3A10" w:rsidRDefault="00DB2558" w:rsidP="00D835CF">
            <w:pPr>
              <w:pStyle w:val="Infotext"/>
              <w:rPr>
                <w:rFonts w:cs="Arial"/>
                <w:sz w:val="24"/>
                <w:szCs w:val="24"/>
              </w:rPr>
            </w:pPr>
            <w:r>
              <w:rPr>
                <w:rFonts w:cs="Arial"/>
                <w:sz w:val="24"/>
                <w:szCs w:val="24"/>
              </w:rPr>
              <w:t>Dawn Calvert – Director of Finance &amp; Assurance</w:t>
            </w:r>
          </w:p>
          <w:p w14:paraId="3798BF23" w14:textId="77777777" w:rsidR="001C7E35" w:rsidRPr="005E3A10" w:rsidRDefault="001C7E35" w:rsidP="00D835CF">
            <w:pPr>
              <w:pStyle w:val="Infotext"/>
              <w:rPr>
                <w:rFonts w:cs="Arial"/>
                <w:sz w:val="24"/>
                <w:szCs w:val="24"/>
              </w:rPr>
            </w:pPr>
          </w:p>
        </w:tc>
      </w:tr>
      <w:tr w:rsidR="001C7E35" w14:paraId="3B6FD8B1" w14:textId="77777777" w:rsidTr="00EB3CF0">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7F8558B9" w14:textId="59FEDD0A" w:rsidR="001C7E35" w:rsidRPr="005E3A10" w:rsidRDefault="0014486D" w:rsidP="00D835CF">
            <w:pPr>
              <w:pStyle w:val="Infotext"/>
              <w:rPr>
                <w:rFonts w:cs="Arial"/>
                <w:sz w:val="24"/>
                <w:szCs w:val="24"/>
              </w:rPr>
            </w:pPr>
            <w:r>
              <w:rPr>
                <w:rFonts w:cs="Arial"/>
                <w:sz w:val="24"/>
                <w:szCs w:val="24"/>
              </w:rPr>
              <w:t>David Ashton – Portfolio Holder for Finance and Human Resources</w:t>
            </w:r>
          </w:p>
          <w:p w14:paraId="39A9A01A" w14:textId="0DE2B3EA" w:rsidR="001C7E35" w:rsidRPr="005E3A10" w:rsidRDefault="001C7E35" w:rsidP="00D835CF">
            <w:pPr>
              <w:pStyle w:val="Infotext"/>
              <w:rPr>
                <w:rFonts w:cs="Arial"/>
                <w:color w:val="FF0000"/>
                <w:sz w:val="24"/>
                <w:szCs w:val="24"/>
              </w:rPr>
            </w:pPr>
          </w:p>
        </w:tc>
      </w:tr>
      <w:tr w:rsidR="001C7E35" w14:paraId="3CF618C8" w14:textId="77777777" w:rsidTr="00EB3CF0">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755E47D1" w14:textId="7134B3CD" w:rsidR="001C7E35" w:rsidRPr="005E3A10" w:rsidRDefault="00F06D90" w:rsidP="00F06D90">
            <w:pPr>
              <w:pStyle w:val="Infotext"/>
              <w:rPr>
                <w:rFonts w:cs="Arial"/>
                <w:color w:val="FF0000"/>
                <w:sz w:val="24"/>
                <w:szCs w:val="24"/>
              </w:rPr>
            </w:pPr>
            <w:r w:rsidRPr="00F06D90">
              <w:rPr>
                <w:rFonts w:cs="Arial"/>
                <w:sz w:val="24"/>
                <w:szCs w:val="24"/>
              </w:rPr>
              <w:t>No</w:t>
            </w:r>
          </w:p>
        </w:tc>
      </w:tr>
      <w:tr w:rsidR="001C7E35" w14:paraId="577CD75A" w14:textId="77777777" w:rsidTr="00EB3CF0">
        <w:tc>
          <w:tcPr>
            <w:tcW w:w="3456" w:type="dxa"/>
          </w:tcPr>
          <w:p w14:paraId="4821943C" w14:textId="01C6B263" w:rsidR="001C7E35" w:rsidRPr="00C13A5F" w:rsidRDefault="001C7E35" w:rsidP="00C869F3">
            <w:pPr>
              <w:pStyle w:val="Infotext"/>
              <w:spacing w:after="240"/>
              <w:rPr>
                <w:rFonts w:ascii="Arial Black" w:hAnsi="Arial Black"/>
              </w:rPr>
            </w:pPr>
          </w:p>
        </w:tc>
        <w:tc>
          <w:tcPr>
            <w:tcW w:w="5054" w:type="dxa"/>
          </w:tcPr>
          <w:p w14:paraId="3A75E271" w14:textId="77777777" w:rsidR="00714BEE" w:rsidRPr="005E3A10" w:rsidRDefault="00714BEE" w:rsidP="00D835CF">
            <w:pPr>
              <w:rPr>
                <w:rFonts w:cs="Arial"/>
                <w:szCs w:val="24"/>
              </w:rPr>
            </w:pPr>
          </w:p>
        </w:tc>
      </w:tr>
      <w:tr w:rsidR="001C7E35" w14:paraId="7E5497E1" w14:textId="77777777" w:rsidTr="00EB3CF0">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52E38AE7" w14:textId="37A59B86" w:rsidR="00307F76" w:rsidRPr="00F06D90" w:rsidRDefault="00DB2558" w:rsidP="00D835CF">
            <w:pPr>
              <w:rPr>
                <w:rFonts w:cs="Arial"/>
                <w:bCs/>
                <w:color w:val="FF0000"/>
                <w:szCs w:val="24"/>
              </w:rPr>
            </w:pPr>
            <w:r w:rsidRPr="00F06D90">
              <w:rPr>
                <w:rFonts w:cs="Arial"/>
                <w:bCs/>
                <w:szCs w:val="24"/>
              </w:rPr>
              <w:t>All</w:t>
            </w:r>
          </w:p>
        </w:tc>
      </w:tr>
      <w:tr w:rsidR="001C7E35" w14:paraId="5F1445BF" w14:textId="77777777" w:rsidTr="00EB3CF0">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6668D730" w14:textId="540E4E88" w:rsidR="001C7E35" w:rsidRPr="00F06D90" w:rsidRDefault="00F06D90" w:rsidP="00DB6C3D">
            <w:pPr>
              <w:pStyle w:val="Infotext"/>
              <w:rPr>
                <w:sz w:val="24"/>
                <w:szCs w:val="24"/>
              </w:rPr>
            </w:pPr>
            <w:r w:rsidRPr="00F06D90">
              <w:rPr>
                <w:rFonts w:cs="Arial"/>
                <w:sz w:val="24"/>
                <w:szCs w:val="24"/>
              </w:rPr>
              <w:t>Draft Corporate Anti-Fraud &amp; Corruption</w:t>
            </w:r>
            <w:r w:rsidR="001C7E35" w:rsidRPr="00F06D90">
              <w:rPr>
                <w:sz w:val="24"/>
                <w:szCs w:val="24"/>
              </w:rPr>
              <w:t xml:space="preserve"> </w:t>
            </w:r>
            <w:r w:rsidRPr="00F06D90">
              <w:rPr>
                <w:sz w:val="24"/>
                <w:szCs w:val="24"/>
              </w:rPr>
              <w:t>Strategy 2022-26</w:t>
            </w: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221A93">
        <w:trPr>
          <w:tblHeader/>
        </w:trPr>
        <w:tc>
          <w:tcPr>
            <w:tcW w:w="8525" w:type="dxa"/>
            <w:tcBorders>
              <w:top w:val="nil"/>
              <w:left w:val="nil"/>
              <w:right w:val="nil"/>
            </w:tcBorders>
          </w:tcPr>
          <w:p w14:paraId="3A67BFB3" w14:textId="77777777" w:rsidR="00333FAA" w:rsidRDefault="00333FAA" w:rsidP="00605A4C">
            <w:pPr>
              <w:pStyle w:val="Heading2"/>
              <w:spacing w:after="240"/>
            </w:pPr>
            <w:r>
              <w:t>Section 1 – Summary and Recommendations</w:t>
            </w:r>
          </w:p>
        </w:tc>
      </w:tr>
      <w:tr w:rsidR="00333FAA" w14:paraId="5D78E563" w14:textId="77777777" w:rsidTr="00221A93">
        <w:trPr>
          <w:tblHeader/>
        </w:trPr>
        <w:tc>
          <w:tcPr>
            <w:tcW w:w="8525" w:type="dxa"/>
          </w:tcPr>
          <w:p w14:paraId="4F6F76A4" w14:textId="6DC93FA7" w:rsidR="001C7E35" w:rsidRPr="00F06D90" w:rsidRDefault="001C7E35" w:rsidP="00605A4C">
            <w:r w:rsidRPr="00F06D90">
              <w:t>This report sets out</w:t>
            </w:r>
            <w:r w:rsidR="00F06D90" w:rsidRPr="00F06D90">
              <w:t xml:space="preserve"> the draft Corporate Anti-Fraud and Corruption Strategy for consultation</w:t>
            </w:r>
          </w:p>
          <w:p w14:paraId="02274D72" w14:textId="77777777" w:rsidR="001C7E35" w:rsidRPr="00605A4C" w:rsidRDefault="00605A4C" w:rsidP="00E13BEF">
            <w:pPr>
              <w:pStyle w:val="Heading3"/>
              <w:spacing w:before="240"/>
            </w:pPr>
            <w:r>
              <w:t>Recommen</w:t>
            </w:r>
            <w:r w:rsidR="001C7E35" w:rsidRPr="00605A4C">
              <w:t xml:space="preserve">dations: </w:t>
            </w:r>
          </w:p>
          <w:p w14:paraId="313BC81E" w14:textId="59AC6851" w:rsidR="00333FAA" w:rsidRDefault="00F06D90" w:rsidP="00F06D90">
            <w:r>
              <w:t xml:space="preserve">The Committee is </w:t>
            </w:r>
            <w:r w:rsidR="00A7098E">
              <w:t>invited</w:t>
            </w:r>
            <w:r>
              <w:t xml:space="preserve"> to review and comment on the strategy as part of the wider cross Council consultation process   </w:t>
            </w:r>
          </w:p>
        </w:tc>
      </w:tr>
    </w:tbl>
    <w:p w14:paraId="747E3DD8" w14:textId="77777777" w:rsidR="00A7098E" w:rsidRDefault="00A7098E" w:rsidP="00F06E4E">
      <w:pPr>
        <w:pStyle w:val="Heading2"/>
        <w:spacing w:before="480"/>
      </w:pPr>
    </w:p>
    <w:p w14:paraId="0204F38A" w14:textId="12482348" w:rsidR="00333FAA" w:rsidRDefault="00333FAA" w:rsidP="00F06E4E">
      <w:pPr>
        <w:pStyle w:val="Heading2"/>
        <w:spacing w:before="480"/>
      </w:pPr>
      <w:r>
        <w:lastRenderedPageBreak/>
        <w:t>Section 2 – Report</w:t>
      </w:r>
    </w:p>
    <w:p w14:paraId="76168D48" w14:textId="394D2B01" w:rsidR="001C7E35" w:rsidRPr="00A7098E" w:rsidRDefault="00A7098E" w:rsidP="00F06E4E">
      <w:pPr>
        <w:pStyle w:val="Heading3"/>
        <w:spacing w:before="240"/>
        <w:rPr>
          <w:sz w:val="24"/>
          <w:szCs w:val="24"/>
        </w:rPr>
      </w:pPr>
      <w:r w:rsidRPr="00A7098E">
        <w:rPr>
          <w:sz w:val="24"/>
          <w:szCs w:val="24"/>
        </w:rPr>
        <w:t>Corporate Anti-Fraud and Corruption Strategy</w:t>
      </w:r>
      <w:r w:rsidR="008D12BE">
        <w:rPr>
          <w:sz w:val="24"/>
          <w:szCs w:val="24"/>
        </w:rPr>
        <w:t xml:space="preserve"> </w:t>
      </w:r>
      <w:r w:rsidR="007B01BB">
        <w:rPr>
          <w:sz w:val="24"/>
          <w:szCs w:val="24"/>
        </w:rPr>
        <w:t xml:space="preserve">2022-26 </w:t>
      </w:r>
      <w:r w:rsidR="008D12BE">
        <w:rPr>
          <w:sz w:val="24"/>
          <w:szCs w:val="24"/>
        </w:rPr>
        <w:t>consultation</w:t>
      </w:r>
    </w:p>
    <w:p w14:paraId="793093DD" w14:textId="2C479034" w:rsidR="00A7098E" w:rsidRPr="0053455E" w:rsidRDefault="00A7098E" w:rsidP="001C7E35">
      <w:pPr>
        <w:rPr>
          <w:b/>
          <w:bCs/>
        </w:rPr>
      </w:pPr>
      <w:r w:rsidRPr="0053455E">
        <w:rPr>
          <w:b/>
          <w:bCs/>
        </w:rPr>
        <w:t>Background</w:t>
      </w:r>
    </w:p>
    <w:p w14:paraId="5073E764" w14:textId="0980D2A1" w:rsidR="00A7098E" w:rsidRDefault="00A7098E" w:rsidP="001C7E35"/>
    <w:p w14:paraId="4587E46D" w14:textId="0A37E288" w:rsidR="0053455E" w:rsidRDefault="00A7098E" w:rsidP="001C7E35">
      <w:r>
        <w:t>2.1</w:t>
      </w:r>
      <w:r>
        <w:tab/>
        <w:t xml:space="preserve">Fraud and corruption risks pose a real threat to the Council not delivering its Corporate Objectives.  Fraud </w:t>
      </w:r>
      <w:r w:rsidR="0053455E">
        <w:t>not only removes resources fr</w:t>
      </w:r>
      <w:r w:rsidR="0051541C">
        <w:t>o</w:t>
      </w:r>
      <w:r w:rsidR="0053455E">
        <w:t>m critical services but can cause untold social harms to individuals and communities and create poor morale amongst employees.</w:t>
      </w:r>
    </w:p>
    <w:p w14:paraId="5349F3BE" w14:textId="77777777" w:rsidR="0053455E" w:rsidRDefault="0053455E" w:rsidP="001C7E35"/>
    <w:p w14:paraId="5453BBC1" w14:textId="604D64FD" w:rsidR="0051541C" w:rsidRDefault="0053455E" w:rsidP="001C7E35">
      <w:r>
        <w:t>2.2</w:t>
      </w:r>
      <w:r w:rsidR="0051541C">
        <w:tab/>
        <w:t xml:space="preserve">At a time when fraud and corruption represents more than 40% of all crime against individuals in England and Wales, it is imperative that the Council has a plan in place to deal with </w:t>
      </w:r>
      <w:r w:rsidR="008D12BE">
        <w:t xml:space="preserve">fraud </w:t>
      </w:r>
      <w:r w:rsidR="0051541C">
        <w:t xml:space="preserve">risks. </w:t>
      </w:r>
    </w:p>
    <w:p w14:paraId="475AE973" w14:textId="28049EFB" w:rsidR="0051541C" w:rsidRDefault="0051541C" w:rsidP="001C7E35">
      <w:r>
        <w:t xml:space="preserve"> </w:t>
      </w:r>
      <w:r w:rsidR="0053455E">
        <w:tab/>
      </w:r>
    </w:p>
    <w:p w14:paraId="17001882" w14:textId="2C476419" w:rsidR="0053455E" w:rsidRDefault="0051541C" w:rsidP="001C7E35">
      <w:r>
        <w:t>2.3</w:t>
      </w:r>
      <w:r>
        <w:tab/>
      </w:r>
      <w:r w:rsidR="0053455E">
        <w:t>Having a robust corporate anti-fraud and corruption strategy in place can help mitigate fraud and corruption risks to prevent and disrupt criminals from committing fraud and enable the Council to react robustly and swiftly when fraud is identified.</w:t>
      </w:r>
    </w:p>
    <w:p w14:paraId="4485E3ED" w14:textId="77777777" w:rsidR="0053455E" w:rsidRDefault="0053455E" w:rsidP="001C7E35"/>
    <w:p w14:paraId="2E1D2229" w14:textId="0EE77F79" w:rsidR="00A7098E" w:rsidRDefault="0053455E" w:rsidP="001C7E35">
      <w:r>
        <w:t>2.</w:t>
      </w:r>
      <w:r w:rsidR="00002174">
        <w:t>4</w:t>
      </w:r>
      <w:r>
        <w:tab/>
      </w:r>
      <w:r w:rsidR="00D91F2B">
        <w:t>Th</w:t>
      </w:r>
      <w:r w:rsidR="007B01BB">
        <w:t>is</w:t>
      </w:r>
      <w:r w:rsidR="00D91F2B">
        <w:t xml:space="preserve"> updated strategy </w:t>
      </w:r>
      <w:r w:rsidR="00280499">
        <w:t>is</w:t>
      </w:r>
      <w:r w:rsidR="00D91F2B">
        <w:t xml:space="preserve"> aligned closely to the fraud strategy for Local Government; </w:t>
      </w:r>
      <w:r w:rsidR="00D91F2B" w:rsidRPr="00D91F2B">
        <w:rPr>
          <w:i/>
          <w:iCs/>
        </w:rPr>
        <w:t xml:space="preserve">Fighting Fraud and Corruption Locally, a strategy for the </w:t>
      </w:r>
      <w:r w:rsidR="00D91F2B">
        <w:rPr>
          <w:i/>
          <w:iCs/>
        </w:rPr>
        <w:t>2</w:t>
      </w:r>
      <w:r w:rsidR="00D91F2B" w:rsidRPr="00D91F2B">
        <w:rPr>
          <w:i/>
          <w:iCs/>
        </w:rPr>
        <w:t>020’s</w:t>
      </w:r>
      <w:r w:rsidR="00D91F2B">
        <w:rPr>
          <w:i/>
          <w:iCs/>
        </w:rPr>
        <w:t xml:space="preserve"> (FFCL).  </w:t>
      </w:r>
      <w:r w:rsidR="00D91F2B">
        <w:t xml:space="preserve">The pillars of </w:t>
      </w:r>
      <w:r w:rsidR="00D91F2B" w:rsidRPr="0051541C">
        <w:rPr>
          <w:i/>
          <w:iCs/>
        </w:rPr>
        <w:t>Govern, Acknowledge, Prevent, Pursue and Protect</w:t>
      </w:r>
      <w:r w:rsidR="00D91F2B">
        <w:t xml:space="preserve"> form a key part of this </w:t>
      </w:r>
      <w:r w:rsidR="0051541C">
        <w:t xml:space="preserve">strategy </w:t>
      </w:r>
      <w:r w:rsidR="00D91F2B">
        <w:t>update and</w:t>
      </w:r>
      <w:r w:rsidR="0051541C">
        <w:t xml:space="preserve"> sets out the measures in place</w:t>
      </w:r>
      <w:r w:rsidR="00573016">
        <w:t xml:space="preserve"> to protect the Council</w:t>
      </w:r>
      <w:r w:rsidR="00280499">
        <w:t xml:space="preserve"> moving forward</w:t>
      </w:r>
      <w:r w:rsidR="007B01BB">
        <w:t>.</w:t>
      </w:r>
      <w:r w:rsidR="0051541C">
        <w:t xml:space="preserve"> </w:t>
      </w:r>
      <w:r w:rsidR="00D91F2B">
        <w:t xml:space="preserve">    </w:t>
      </w:r>
      <w:r>
        <w:t xml:space="preserve">        </w:t>
      </w:r>
      <w:r w:rsidR="00A7098E">
        <w:t xml:space="preserve">   </w:t>
      </w:r>
    </w:p>
    <w:p w14:paraId="521E3BE7" w14:textId="77777777" w:rsidR="0053455E" w:rsidRDefault="0053455E" w:rsidP="001C7E35"/>
    <w:p w14:paraId="71841C0A" w14:textId="2C61371D" w:rsidR="00333FAA" w:rsidRPr="00002174" w:rsidRDefault="00333FAA" w:rsidP="0054590F">
      <w:pPr>
        <w:pStyle w:val="Heading4"/>
        <w:rPr>
          <w:szCs w:val="24"/>
        </w:rPr>
      </w:pPr>
      <w:r w:rsidRPr="00002174">
        <w:rPr>
          <w:szCs w:val="24"/>
        </w:rPr>
        <w:t>Resources</w:t>
      </w:r>
    </w:p>
    <w:p w14:paraId="0F231172" w14:textId="77777777" w:rsidR="00280499" w:rsidRDefault="00280499" w:rsidP="0054590F">
      <w:pPr>
        <w:rPr>
          <w:szCs w:val="24"/>
        </w:rPr>
      </w:pPr>
    </w:p>
    <w:p w14:paraId="74349A60" w14:textId="2A9D8365" w:rsidR="0054590F" w:rsidRDefault="00280499" w:rsidP="0054590F">
      <w:pPr>
        <w:rPr>
          <w:szCs w:val="24"/>
        </w:rPr>
      </w:pPr>
      <w:r>
        <w:rPr>
          <w:szCs w:val="24"/>
        </w:rPr>
        <w:t xml:space="preserve">There are no resource implications as the strategy will replace the current strategy in the constitution.  </w:t>
      </w:r>
    </w:p>
    <w:p w14:paraId="253F8757" w14:textId="77777777" w:rsidR="00573016" w:rsidRPr="00F06E4E" w:rsidRDefault="00573016" w:rsidP="0054590F">
      <w:pPr>
        <w:rPr>
          <w:szCs w:val="24"/>
        </w:rPr>
      </w:pPr>
    </w:p>
    <w:p w14:paraId="298EF441" w14:textId="77777777" w:rsidR="00002174" w:rsidRDefault="00002174" w:rsidP="00BC0AA1">
      <w:pPr>
        <w:pStyle w:val="paragraph"/>
        <w:spacing w:before="0" w:beforeAutospacing="0" w:after="0" w:afterAutospacing="0"/>
        <w:textAlignment w:val="baseline"/>
        <w:rPr>
          <w:rFonts w:ascii="Arial" w:hAnsi="Arial" w:cs="Arial"/>
          <w:b/>
          <w:bCs/>
        </w:rPr>
      </w:pPr>
      <w:r>
        <w:rPr>
          <w:rFonts w:ascii="Arial" w:hAnsi="Arial" w:cs="Arial"/>
          <w:b/>
          <w:bCs/>
        </w:rPr>
        <w:t>Legal Implications</w:t>
      </w:r>
    </w:p>
    <w:p w14:paraId="78B3A478" w14:textId="77777777" w:rsidR="00002174" w:rsidRDefault="00002174" w:rsidP="00BC0AA1">
      <w:pPr>
        <w:pStyle w:val="paragraph"/>
        <w:spacing w:before="0" w:beforeAutospacing="0" w:after="0" w:afterAutospacing="0"/>
        <w:textAlignment w:val="baseline"/>
        <w:rPr>
          <w:rFonts w:ascii="Arial" w:hAnsi="Arial" w:cs="Arial"/>
          <w:b/>
          <w:bCs/>
        </w:rPr>
      </w:pPr>
    </w:p>
    <w:p w14:paraId="3AF4A417" w14:textId="223DC92D" w:rsidR="00002174" w:rsidRPr="00002174" w:rsidRDefault="00002174" w:rsidP="00BC0AA1">
      <w:pPr>
        <w:pStyle w:val="paragraph"/>
        <w:spacing w:before="0" w:beforeAutospacing="0" w:after="0" w:afterAutospacing="0"/>
        <w:textAlignment w:val="baseline"/>
        <w:rPr>
          <w:rFonts w:ascii="Arial" w:hAnsi="Arial" w:cs="Arial"/>
        </w:rPr>
      </w:pPr>
      <w:r w:rsidRPr="00002174">
        <w:rPr>
          <w:rFonts w:ascii="Arial" w:hAnsi="Arial" w:cs="Arial"/>
        </w:rPr>
        <w:t>This is an information report</w:t>
      </w:r>
      <w:r w:rsidR="008D12BE">
        <w:rPr>
          <w:rFonts w:ascii="Arial" w:hAnsi="Arial" w:cs="Arial"/>
        </w:rPr>
        <w:t xml:space="preserve"> </w:t>
      </w:r>
    </w:p>
    <w:p w14:paraId="1D205EF8" w14:textId="77777777" w:rsidR="00002174" w:rsidRDefault="00002174" w:rsidP="00BC0AA1">
      <w:pPr>
        <w:pStyle w:val="paragraph"/>
        <w:spacing w:before="0" w:beforeAutospacing="0" w:after="0" w:afterAutospacing="0"/>
        <w:textAlignment w:val="baseline"/>
        <w:rPr>
          <w:rFonts w:ascii="Arial" w:hAnsi="Arial" w:cs="Arial"/>
          <w:b/>
          <w:bCs/>
        </w:rPr>
      </w:pPr>
    </w:p>
    <w:p w14:paraId="06972DD4" w14:textId="5647D76D" w:rsidR="00002174" w:rsidRDefault="00BC0AA1" w:rsidP="00BC0AA1">
      <w:pPr>
        <w:pStyle w:val="paragraph"/>
        <w:spacing w:before="0" w:beforeAutospacing="0" w:after="0" w:afterAutospacing="0"/>
        <w:textAlignment w:val="baseline"/>
      </w:pPr>
      <w:r w:rsidRPr="00002174">
        <w:rPr>
          <w:rFonts w:ascii="Arial" w:hAnsi="Arial" w:cs="Arial"/>
          <w:b/>
          <w:bCs/>
        </w:rPr>
        <w:t>Financial Implications</w:t>
      </w:r>
      <w:r w:rsidR="00330832" w:rsidRPr="00002174">
        <w:rPr>
          <w:rStyle w:val="normaltextrun"/>
          <w:rFonts w:ascii="Arial" w:hAnsi="Arial" w:cs="Arial"/>
          <w:b/>
          <w:bCs/>
        </w:rPr>
        <w:t> </w:t>
      </w:r>
    </w:p>
    <w:p w14:paraId="09C39DDA" w14:textId="77C68AE9" w:rsidR="00BC0AA1" w:rsidRDefault="00330832" w:rsidP="00BC0AA1">
      <w:pPr>
        <w:pStyle w:val="paragraph"/>
        <w:spacing w:before="0" w:beforeAutospacing="0" w:after="0" w:afterAutospacing="0"/>
        <w:textAlignment w:val="baseline"/>
      </w:pPr>
      <w:r w:rsidRPr="00002174">
        <w:t> </w:t>
      </w:r>
    </w:p>
    <w:p w14:paraId="16CC08F4" w14:textId="375B8B48" w:rsidR="00002174" w:rsidRPr="00002174" w:rsidRDefault="00002174" w:rsidP="00BC0AA1">
      <w:pPr>
        <w:pStyle w:val="paragraph"/>
        <w:spacing w:before="0" w:beforeAutospacing="0" w:after="0" w:afterAutospacing="0"/>
        <w:textAlignment w:val="baseline"/>
        <w:rPr>
          <w:rFonts w:ascii="Arial" w:hAnsi="Arial" w:cs="Arial"/>
        </w:rPr>
      </w:pPr>
      <w:r w:rsidRPr="00002174">
        <w:rPr>
          <w:rFonts w:ascii="Arial" w:hAnsi="Arial" w:cs="Arial"/>
        </w:rPr>
        <w:t>This is an information report</w:t>
      </w:r>
      <w:r w:rsidR="008D12BE">
        <w:rPr>
          <w:rFonts w:ascii="Arial" w:hAnsi="Arial" w:cs="Arial"/>
        </w:rPr>
        <w:t xml:space="preserve"> </w:t>
      </w:r>
    </w:p>
    <w:p w14:paraId="728E73FD" w14:textId="77777777" w:rsidR="00002174" w:rsidRPr="00002174" w:rsidRDefault="00002174" w:rsidP="00BC0AA1">
      <w:pPr>
        <w:pStyle w:val="paragraph"/>
        <w:spacing w:before="0" w:beforeAutospacing="0" w:after="0" w:afterAutospacing="0"/>
        <w:textAlignment w:val="baseline"/>
      </w:pPr>
    </w:p>
    <w:p w14:paraId="75284416" w14:textId="50A29F3C" w:rsidR="00A81E19" w:rsidRPr="00002174" w:rsidRDefault="00A81E19" w:rsidP="00BC0AA1">
      <w:pPr>
        <w:pStyle w:val="paragraph"/>
        <w:spacing w:before="0" w:beforeAutospacing="0" w:after="0" w:afterAutospacing="0"/>
        <w:textAlignment w:val="baseline"/>
        <w:rPr>
          <w:rFonts w:ascii="Arial" w:hAnsi="Arial" w:cs="Arial"/>
          <w:b/>
          <w:bCs/>
          <w:sz w:val="18"/>
          <w:szCs w:val="18"/>
        </w:rPr>
      </w:pPr>
      <w:r w:rsidRPr="00002174">
        <w:rPr>
          <w:rFonts w:ascii="Arial" w:hAnsi="Arial" w:cs="Arial"/>
          <w:b/>
          <w:bCs/>
        </w:rPr>
        <w:t>Risk Management Implications</w:t>
      </w:r>
    </w:p>
    <w:p w14:paraId="4D1886C3" w14:textId="77777777" w:rsidR="00002174" w:rsidRDefault="00002174" w:rsidP="00BC0AA1"/>
    <w:p w14:paraId="282EBAAA" w14:textId="77777777" w:rsidR="008D12BE" w:rsidRDefault="00BC0AA1" w:rsidP="008D12BE">
      <w:r>
        <w:t>This is an information report</w:t>
      </w:r>
    </w:p>
    <w:p w14:paraId="7A0DB421" w14:textId="77777777" w:rsidR="008D12BE" w:rsidRDefault="008D12BE" w:rsidP="008D12BE"/>
    <w:p w14:paraId="0249BBDB" w14:textId="7AC45E48" w:rsidR="002A3FEF" w:rsidRDefault="002A3FEF" w:rsidP="008D12BE">
      <w:pPr>
        <w:rPr>
          <w:b/>
          <w:bCs/>
          <w:szCs w:val="24"/>
        </w:rPr>
      </w:pPr>
      <w:r w:rsidRPr="008D12BE">
        <w:rPr>
          <w:b/>
          <w:bCs/>
          <w:szCs w:val="24"/>
        </w:rPr>
        <w:t>Procurement Implications</w:t>
      </w:r>
    </w:p>
    <w:p w14:paraId="5A61D994" w14:textId="77777777" w:rsidR="008D12BE" w:rsidRPr="008D12BE" w:rsidRDefault="008D12BE" w:rsidP="008D12BE">
      <w:pPr>
        <w:rPr>
          <w:b/>
          <w:bCs/>
        </w:rPr>
      </w:pPr>
    </w:p>
    <w:p w14:paraId="7178C69F" w14:textId="77777777" w:rsidR="00BC0AA1" w:rsidRDefault="00BC0AA1" w:rsidP="00A1211C">
      <w:r>
        <w:t>This is an information report</w:t>
      </w:r>
    </w:p>
    <w:p w14:paraId="27D29FD8" w14:textId="43FBE92B" w:rsidR="00002174" w:rsidRPr="00002174" w:rsidRDefault="00002174" w:rsidP="00A1211C">
      <w:pPr>
        <w:pStyle w:val="Heading3"/>
        <w:spacing w:before="480" w:after="240"/>
        <w:rPr>
          <w:sz w:val="24"/>
          <w:szCs w:val="24"/>
        </w:rPr>
      </w:pPr>
      <w:r w:rsidRPr="00002174">
        <w:rPr>
          <w:sz w:val="24"/>
          <w:szCs w:val="24"/>
        </w:rPr>
        <w:t>Council Priorities</w:t>
      </w:r>
    </w:p>
    <w:p w14:paraId="322CF40F" w14:textId="49D9219E" w:rsidR="00002174" w:rsidRPr="00002174" w:rsidRDefault="00002174" w:rsidP="00002174">
      <w:r>
        <w:t xml:space="preserve">The </w:t>
      </w:r>
      <w:r w:rsidR="008D12BE">
        <w:t>Corporate Anti-Fraud and Corruption Strategy contributes to all corporate priorities by enhancing the robustness of the control environment and governance mechanisms that directly or indirectly support the priorities.</w:t>
      </w:r>
    </w:p>
    <w:p w14:paraId="41D80CF8" w14:textId="77F25C7A" w:rsidR="00333FAA" w:rsidRPr="008D12BE" w:rsidRDefault="00333FAA" w:rsidP="00A1211C">
      <w:pPr>
        <w:pStyle w:val="Heading3"/>
        <w:spacing w:before="480" w:after="240"/>
        <w:rPr>
          <w:color w:val="FF0000"/>
          <w:sz w:val="24"/>
          <w:szCs w:val="24"/>
        </w:rPr>
      </w:pPr>
      <w:r w:rsidRPr="008D12BE">
        <w:rPr>
          <w:sz w:val="24"/>
          <w:szCs w:val="24"/>
        </w:rPr>
        <w:lastRenderedPageBreak/>
        <w:t>Equalities implications</w:t>
      </w:r>
      <w:r w:rsidR="001C7E35" w:rsidRPr="008D12BE">
        <w:rPr>
          <w:sz w:val="24"/>
          <w:szCs w:val="24"/>
        </w:rPr>
        <w:t xml:space="preserve"> </w:t>
      </w:r>
      <w:r w:rsidRPr="008D12BE">
        <w:rPr>
          <w:sz w:val="24"/>
          <w:szCs w:val="24"/>
        </w:rPr>
        <w:t>/</w:t>
      </w:r>
      <w:r w:rsidR="001C7E35" w:rsidRPr="008D12BE">
        <w:rPr>
          <w:sz w:val="24"/>
          <w:szCs w:val="24"/>
        </w:rPr>
        <w:t xml:space="preserve"> </w:t>
      </w:r>
      <w:r w:rsidRPr="008D12BE">
        <w:rPr>
          <w:sz w:val="24"/>
          <w:szCs w:val="24"/>
        </w:rPr>
        <w:t>Public Sector Equality Duty</w:t>
      </w:r>
    </w:p>
    <w:p w14:paraId="4C92FA71" w14:textId="3B4162B7" w:rsidR="008D12BE" w:rsidRPr="008D12BE" w:rsidRDefault="008D12BE" w:rsidP="000B7C66">
      <w:pPr>
        <w:pStyle w:val="Heading2"/>
        <w:spacing w:before="480" w:after="240"/>
        <w:rPr>
          <w:rFonts w:ascii="Arial" w:hAnsi="Arial"/>
          <w:b w:val="0"/>
          <w:bCs w:val="0"/>
          <w:sz w:val="24"/>
          <w:szCs w:val="24"/>
        </w:rPr>
      </w:pPr>
      <w:r w:rsidRPr="008D12BE">
        <w:rPr>
          <w:rFonts w:ascii="Arial" w:hAnsi="Arial"/>
          <w:b w:val="0"/>
          <w:bCs w:val="0"/>
          <w:sz w:val="24"/>
          <w:szCs w:val="24"/>
        </w:rPr>
        <w:t>This is an information report</w:t>
      </w:r>
      <w:r>
        <w:rPr>
          <w:rFonts w:ascii="Arial" w:hAnsi="Arial"/>
          <w:b w:val="0"/>
          <w:bCs w:val="0"/>
          <w:sz w:val="24"/>
          <w:szCs w:val="24"/>
        </w:rPr>
        <w:t xml:space="preserve"> </w:t>
      </w:r>
    </w:p>
    <w:p w14:paraId="5514D939" w14:textId="29EB8D28" w:rsidR="00333FAA" w:rsidRDefault="00333FAA" w:rsidP="000B7C66">
      <w:pPr>
        <w:pStyle w:val="Heading2"/>
        <w:spacing w:before="480" w:after="240"/>
      </w:pPr>
      <w:r>
        <w:t>Section 3 - Statutory Officer Clearance</w:t>
      </w:r>
    </w:p>
    <w:p w14:paraId="065BF29C" w14:textId="24C6EF9F" w:rsidR="00BF5AFA" w:rsidRPr="000832CD" w:rsidRDefault="00BC0AA1" w:rsidP="00BC0AA1">
      <w:pPr>
        <w:rPr>
          <w:bCs/>
          <w:szCs w:val="24"/>
        </w:rPr>
      </w:pPr>
      <w:r w:rsidRPr="000832CD">
        <w:rPr>
          <w:bCs/>
          <w:szCs w:val="24"/>
        </w:rPr>
        <w:t xml:space="preserve">This is an information report and does not require </w:t>
      </w:r>
      <w:r w:rsidR="000832CD" w:rsidRPr="000832CD">
        <w:rPr>
          <w:bCs/>
          <w:szCs w:val="24"/>
        </w:rPr>
        <w:t>statutory clearance</w:t>
      </w:r>
    </w:p>
    <w:p w14:paraId="45A19EC7" w14:textId="59434FDF" w:rsidR="003313EA" w:rsidRPr="00435B5D" w:rsidRDefault="003313EA" w:rsidP="00BF5AFA">
      <w:pPr>
        <w:pStyle w:val="Heading2"/>
        <w:spacing w:before="480" w:after="240"/>
      </w:pPr>
      <w:r>
        <w:t>Mandatory Checks</w:t>
      </w:r>
    </w:p>
    <w:p w14:paraId="64551188" w14:textId="480C1952" w:rsidR="003313EA" w:rsidRPr="00A406F3" w:rsidRDefault="003313EA" w:rsidP="003313EA">
      <w:pPr>
        <w:pStyle w:val="Heading3"/>
        <w:ind w:left="0" w:firstLine="0"/>
        <w:jc w:val="left"/>
      </w:pPr>
      <w:r w:rsidRPr="003313EA">
        <w:t xml:space="preserve">Ward Councillors </w:t>
      </w:r>
      <w:r>
        <w:t xml:space="preserve">notified:  </w:t>
      </w:r>
      <w:r w:rsidRPr="00A406F3">
        <w:t>NO</w:t>
      </w:r>
      <w:r w:rsidRPr="00333FAA">
        <w:t>, as it impacts on all Wards</w:t>
      </w:r>
      <w:r w:rsidRPr="00A406F3">
        <w:t xml:space="preserve"> </w:t>
      </w:r>
    </w:p>
    <w:p w14:paraId="39E1A25C" w14:textId="60D41B5C" w:rsidR="00BC0AA1" w:rsidRPr="00BC0AA1" w:rsidRDefault="00333FAA" w:rsidP="00BC0AA1">
      <w:pPr>
        <w:pStyle w:val="Heading2"/>
        <w:spacing w:before="480" w:after="240"/>
      </w:pPr>
      <w:r>
        <w:t xml:space="preserve">Section </w:t>
      </w:r>
      <w:r w:rsidR="00A20113">
        <w:t>4</w:t>
      </w:r>
      <w:r>
        <w:t xml:space="preserve"> - Contact Details and Background Papers</w:t>
      </w:r>
    </w:p>
    <w:p w14:paraId="0005C0E4" w14:textId="1AD1E6BB" w:rsidR="00333FAA" w:rsidRPr="00EB5065" w:rsidRDefault="00333FAA" w:rsidP="00CC18AC">
      <w:pPr>
        <w:pStyle w:val="Infotext"/>
        <w:spacing w:after="240"/>
        <w:rPr>
          <w:sz w:val="24"/>
          <w:szCs w:val="24"/>
        </w:rPr>
      </w:pPr>
      <w:r w:rsidRPr="004E47FC">
        <w:rPr>
          <w:b/>
        </w:rPr>
        <w:t xml:space="preserve">Contact:  </w:t>
      </w:r>
      <w:r w:rsidR="00BC0AA1" w:rsidRPr="00EB5065">
        <w:rPr>
          <w:sz w:val="24"/>
          <w:szCs w:val="24"/>
        </w:rPr>
        <w:t>Justin</w:t>
      </w:r>
      <w:r w:rsidR="002340A7" w:rsidRPr="00EB5065">
        <w:rPr>
          <w:sz w:val="24"/>
          <w:szCs w:val="24"/>
        </w:rPr>
        <w:t xml:space="preserve"> Phillips, Corporate Anti Fraud Manager</w:t>
      </w:r>
      <w:r w:rsidR="00962360" w:rsidRPr="00EB5065">
        <w:rPr>
          <w:sz w:val="24"/>
          <w:szCs w:val="24"/>
        </w:rPr>
        <w:t>, 020 8424 1609</w:t>
      </w:r>
      <w:r w:rsidR="002340A7" w:rsidRPr="00EB5065">
        <w:rPr>
          <w:sz w:val="24"/>
          <w:szCs w:val="24"/>
        </w:rPr>
        <w:t xml:space="preserve"> </w:t>
      </w:r>
    </w:p>
    <w:p w14:paraId="3CCA5C3B" w14:textId="6795E253" w:rsidR="000D4E36" w:rsidRPr="00ED6776" w:rsidRDefault="00333FAA" w:rsidP="00BC0AA1">
      <w:pPr>
        <w:pStyle w:val="Infotext"/>
        <w:spacing w:after="240"/>
        <w:rPr>
          <w:rFonts w:cs="Arial"/>
          <w:i/>
          <w:sz w:val="24"/>
          <w:szCs w:val="24"/>
          <w:lang w:eastAsia="en-GB"/>
        </w:rPr>
      </w:pPr>
      <w:r w:rsidRPr="004E47FC">
        <w:rPr>
          <w:b/>
        </w:rPr>
        <w:t xml:space="preserve">Background Papers: </w:t>
      </w:r>
      <w:r w:rsidR="005808FB">
        <w:rPr>
          <w:b/>
        </w:rPr>
        <w:t xml:space="preserve"> </w:t>
      </w:r>
      <w:r w:rsidR="00962360">
        <w:rPr>
          <w:b/>
        </w:rPr>
        <w:t>None</w:t>
      </w:r>
    </w:p>
    <w:sectPr w:rsidR="000D4E36" w:rsidRPr="00ED6776" w:rsidSect="001614E0">
      <w:headerReference w:type="default" r:id="rId13"/>
      <w:headerReference w:type="first" r:id="rId14"/>
      <w:footerReference w:type="first" r:id="rId15"/>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DA303" w14:textId="77777777" w:rsidR="00E74447" w:rsidRDefault="00E74447">
      <w:r>
        <w:separator/>
      </w:r>
    </w:p>
  </w:endnote>
  <w:endnote w:type="continuationSeparator" w:id="0">
    <w:p w14:paraId="6DF5E6A4" w14:textId="77777777" w:rsidR="00E74447" w:rsidRDefault="00E7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260B4" w14:textId="77777777" w:rsidR="00E74447" w:rsidRDefault="00E74447">
      <w:r>
        <w:separator/>
      </w:r>
    </w:p>
  </w:footnote>
  <w:footnote w:type="continuationSeparator" w:id="0">
    <w:p w14:paraId="40BE7803" w14:textId="77777777" w:rsidR="00E74447" w:rsidRDefault="00E74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56357"/>
    <w:multiLevelType w:val="multilevel"/>
    <w:tmpl w:val="884418E6"/>
    <w:lvl w:ilvl="0">
      <w:start w:val="1"/>
      <w:numFmt w:val="bullet"/>
      <w:lvlText w:val="-"/>
      <w:lvlJc w:val="left"/>
      <w:pPr>
        <w:tabs>
          <w:tab w:val="num" w:pos="1080"/>
        </w:tabs>
        <w:ind w:left="1080" w:hanging="360"/>
      </w:pPr>
      <w:rPr>
        <w:rFonts w:ascii="Arial" w:hAnsi="Aria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E683402"/>
    <w:multiLevelType w:val="hybridMultilevel"/>
    <w:tmpl w:val="D6AA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174F0C"/>
    <w:multiLevelType w:val="hybridMultilevel"/>
    <w:tmpl w:val="9260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25749"/>
    <w:multiLevelType w:val="hybridMultilevel"/>
    <w:tmpl w:val="CB4C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6848A1"/>
    <w:multiLevelType w:val="hybridMultilevel"/>
    <w:tmpl w:val="2B780FBC"/>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CC2CAF"/>
    <w:multiLevelType w:val="multilevel"/>
    <w:tmpl w:val="F4DE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3" w15:restartNumberingAfterBreak="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A75CD0"/>
    <w:multiLevelType w:val="hybridMultilevel"/>
    <w:tmpl w:val="BAC4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FF2385"/>
    <w:multiLevelType w:val="multilevel"/>
    <w:tmpl w:val="D72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5FD5009"/>
    <w:multiLevelType w:val="hybridMultilevel"/>
    <w:tmpl w:val="4AE472E2"/>
    <w:lvl w:ilvl="0" w:tplc="53AA2584">
      <w:start w:val="1"/>
      <w:numFmt w:val="bullet"/>
      <w:lvlText w:val=""/>
      <w:lvlJc w:val="left"/>
      <w:pPr>
        <w:tabs>
          <w:tab w:val="num" w:pos="360"/>
        </w:tabs>
        <w:ind w:left="360" w:hanging="360"/>
      </w:pPr>
      <w:rPr>
        <w:rFonts w:ascii="Wingdings" w:hAnsi="Wingdings" w:hint="default"/>
        <w:color w:val="3E007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3D7533"/>
    <w:multiLevelType w:val="hybridMultilevel"/>
    <w:tmpl w:val="90349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132222C"/>
    <w:multiLevelType w:val="hybridMultilevel"/>
    <w:tmpl w:val="3E6C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922C1B"/>
    <w:multiLevelType w:val="hybridMultilevel"/>
    <w:tmpl w:val="6A5A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322F4B"/>
    <w:multiLevelType w:val="hybridMultilevel"/>
    <w:tmpl w:val="098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1" w15:restartNumberingAfterBreak="0">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707DB5"/>
    <w:multiLevelType w:val="hybridMultilevel"/>
    <w:tmpl w:val="DC30D536"/>
    <w:lvl w:ilvl="0" w:tplc="E5BA9022">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0"/>
  </w:num>
  <w:num w:numId="3">
    <w:abstractNumId w:val="15"/>
  </w:num>
  <w:num w:numId="4">
    <w:abstractNumId w:val="43"/>
  </w:num>
  <w:num w:numId="5">
    <w:abstractNumId w:val="39"/>
  </w:num>
  <w:num w:numId="6">
    <w:abstractNumId w:val="17"/>
  </w:num>
  <w:num w:numId="7">
    <w:abstractNumId w:val="1"/>
  </w:num>
  <w:num w:numId="8">
    <w:abstractNumId w:val="23"/>
  </w:num>
  <w:num w:numId="9">
    <w:abstractNumId w:val="24"/>
  </w:num>
  <w:num w:numId="10">
    <w:abstractNumId w:val="42"/>
  </w:num>
  <w:num w:numId="11">
    <w:abstractNumId w:val="12"/>
  </w:num>
  <w:num w:numId="12">
    <w:abstractNumId w:val="21"/>
  </w:num>
  <w:num w:numId="13">
    <w:abstractNumId w:val="22"/>
  </w:num>
  <w:num w:numId="14">
    <w:abstractNumId w:val="13"/>
  </w:num>
  <w:num w:numId="15">
    <w:abstractNumId w:val="32"/>
  </w:num>
  <w:num w:numId="16">
    <w:abstractNumId w:val="16"/>
  </w:num>
  <w:num w:numId="17">
    <w:abstractNumId w:val="35"/>
  </w:num>
  <w:num w:numId="18">
    <w:abstractNumId w:val="19"/>
  </w:num>
  <w:num w:numId="19">
    <w:abstractNumId w:val="41"/>
  </w:num>
  <w:num w:numId="20">
    <w:abstractNumId w:val="5"/>
  </w:num>
  <w:num w:numId="21">
    <w:abstractNumId w:val="0"/>
  </w:num>
  <w:num w:numId="22">
    <w:abstractNumId w:val="6"/>
  </w:num>
  <w:num w:numId="23">
    <w:abstractNumId w:val="28"/>
  </w:num>
  <w:num w:numId="24">
    <w:abstractNumId w:val="8"/>
  </w:num>
  <w:num w:numId="25">
    <w:abstractNumId w:val="25"/>
  </w:num>
  <w:num w:numId="26">
    <w:abstractNumId w:val="29"/>
  </w:num>
  <w:num w:numId="27">
    <w:abstractNumId w:val="30"/>
  </w:num>
  <w:num w:numId="28">
    <w:abstractNumId w:val="11"/>
  </w:num>
  <w:num w:numId="29">
    <w:abstractNumId w:val="38"/>
  </w:num>
  <w:num w:numId="30">
    <w:abstractNumId w:val="10"/>
  </w:num>
  <w:num w:numId="31">
    <w:abstractNumId w:val="31"/>
  </w:num>
  <w:num w:numId="32">
    <w:abstractNumId w:val="34"/>
  </w:num>
  <w:num w:numId="33">
    <w:abstractNumId w:val="36"/>
  </w:num>
  <w:num w:numId="34">
    <w:abstractNumId w:val="9"/>
  </w:num>
  <w:num w:numId="35">
    <w:abstractNumId w:val="26"/>
  </w:num>
  <w:num w:numId="36">
    <w:abstractNumId w:val="3"/>
  </w:num>
  <w:num w:numId="37">
    <w:abstractNumId w:val="20"/>
  </w:num>
  <w:num w:numId="38">
    <w:abstractNumId w:val="44"/>
  </w:num>
  <w:num w:numId="39">
    <w:abstractNumId w:val="7"/>
  </w:num>
  <w:num w:numId="40">
    <w:abstractNumId w:val="4"/>
  </w:num>
  <w:num w:numId="41">
    <w:abstractNumId w:val="37"/>
  </w:num>
  <w:num w:numId="42">
    <w:abstractNumId w:val="45"/>
  </w:num>
  <w:num w:numId="43">
    <w:abstractNumId w:val="33"/>
  </w:num>
  <w:num w:numId="44">
    <w:abstractNumId w:val="2"/>
  </w:num>
  <w:num w:numId="45">
    <w:abstractNumId w:val="14"/>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2174"/>
    <w:rsid w:val="00036C82"/>
    <w:rsid w:val="0004029A"/>
    <w:rsid w:val="000474E3"/>
    <w:rsid w:val="0006034E"/>
    <w:rsid w:val="00063783"/>
    <w:rsid w:val="00073765"/>
    <w:rsid w:val="000832CD"/>
    <w:rsid w:val="000929A6"/>
    <w:rsid w:val="00095FA1"/>
    <w:rsid w:val="000B5015"/>
    <w:rsid w:val="000B788F"/>
    <w:rsid w:val="000B7C66"/>
    <w:rsid w:val="000D4E36"/>
    <w:rsid w:val="000E62FE"/>
    <w:rsid w:val="00105B8A"/>
    <w:rsid w:val="001161E4"/>
    <w:rsid w:val="00125A26"/>
    <w:rsid w:val="0014486D"/>
    <w:rsid w:val="001472A8"/>
    <w:rsid w:val="0015376F"/>
    <w:rsid w:val="001614E0"/>
    <w:rsid w:val="00171BD8"/>
    <w:rsid w:val="0017653E"/>
    <w:rsid w:val="00182B01"/>
    <w:rsid w:val="001840D2"/>
    <w:rsid w:val="001966D7"/>
    <w:rsid w:val="001C4D2E"/>
    <w:rsid w:val="001C7E35"/>
    <w:rsid w:val="001D3ADD"/>
    <w:rsid w:val="001E3C06"/>
    <w:rsid w:val="001F0037"/>
    <w:rsid w:val="001F0BE9"/>
    <w:rsid w:val="00202D79"/>
    <w:rsid w:val="00205D2F"/>
    <w:rsid w:val="00215E8F"/>
    <w:rsid w:val="00221A93"/>
    <w:rsid w:val="002322BB"/>
    <w:rsid w:val="002340A7"/>
    <w:rsid w:val="00251254"/>
    <w:rsid w:val="002548D1"/>
    <w:rsid w:val="0027283B"/>
    <w:rsid w:val="0028019B"/>
    <w:rsid w:val="00280499"/>
    <w:rsid w:val="00282E73"/>
    <w:rsid w:val="00283CAB"/>
    <w:rsid w:val="0028525A"/>
    <w:rsid w:val="002A3FEF"/>
    <w:rsid w:val="002B54A6"/>
    <w:rsid w:val="002F3EE9"/>
    <w:rsid w:val="00307F76"/>
    <w:rsid w:val="00321FBB"/>
    <w:rsid w:val="00330832"/>
    <w:rsid w:val="003313EA"/>
    <w:rsid w:val="00333FAA"/>
    <w:rsid w:val="003355D7"/>
    <w:rsid w:val="0036201C"/>
    <w:rsid w:val="00376768"/>
    <w:rsid w:val="00380F87"/>
    <w:rsid w:val="003C270D"/>
    <w:rsid w:val="003F200F"/>
    <w:rsid w:val="003F3AFD"/>
    <w:rsid w:val="004076C8"/>
    <w:rsid w:val="004207E3"/>
    <w:rsid w:val="00421A4C"/>
    <w:rsid w:val="004238C2"/>
    <w:rsid w:val="00435B5D"/>
    <w:rsid w:val="004363F7"/>
    <w:rsid w:val="0044525C"/>
    <w:rsid w:val="004553F1"/>
    <w:rsid w:val="00471C1F"/>
    <w:rsid w:val="004809FA"/>
    <w:rsid w:val="004C2D09"/>
    <w:rsid w:val="004C4A75"/>
    <w:rsid w:val="004D2DA0"/>
    <w:rsid w:val="004E14A4"/>
    <w:rsid w:val="004F54BD"/>
    <w:rsid w:val="004F56C5"/>
    <w:rsid w:val="00506185"/>
    <w:rsid w:val="0051541C"/>
    <w:rsid w:val="0053455E"/>
    <w:rsid w:val="005354D0"/>
    <w:rsid w:val="0054172C"/>
    <w:rsid w:val="0054590F"/>
    <w:rsid w:val="005459EC"/>
    <w:rsid w:val="00563EA4"/>
    <w:rsid w:val="005718B5"/>
    <w:rsid w:val="00573016"/>
    <w:rsid w:val="005808FB"/>
    <w:rsid w:val="005811F8"/>
    <w:rsid w:val="00582605"/>
    <w:rsid w:val="00591016"/>
    <w:rsid w:val="005B3F67"/>
    <w:rsid w:val="005D548F"/>
    <w:rsid w:val="005D6EF5"/>
    <w:rsid w:val="005E3A10"/>
    <w:rsid w:val="005E7509"/>
    <w:rsid w:val="00601D7F"/>
    <w:rsid w:val="00605A4C"/>
    <w:rsid w:val="00645B8B"/>
    <w:rsid w:val="00655044"/>
    <w:rsid w:val="00666922"/>
    <w:rsid w:val="00670F17"/>
    <w:rsid w:val="006710C7"/>
    <w:rsid w:val="00696A83"/>
    <w:rsid w:val="006C580A"/>
    <w:rsid w:val="006D1E69"/>
    <w:rsid w:val="006F057C"/>
    <w:rsid w:val="006F22DA"/>
    <w:rsid w:val="006F2EB3"/>
    <w:rsid w:val="007116B1"/>
    <w:rsid w:val="00714BEE"/>
    <w:rsid w:val="00721215"/>
    <w:rsid w:val="007400CF"/>
    <w:rsid w:val="007B01BB"/>
    <w:rsid w:val="007B23FC"/>
    <w:rsid w:val="007D0C1D"/>
    <w:rsid w:val="007D2000"/>
    <w:rsid w:val="007D4DBF"/>
    <w:rsid w:val="007E4732"/>
    <w:rsid w:val="007E4BA4"/>
    <w:rsid w:val="007F004E"/>
    <w:rsid w:val="007F335A"/>
    <w:rsid w:val="00803104"/>
    <w:rsid w:val="00812901"/>
    <w:rsid w:val="00826B9A"/>
    <w:rsid w:val="00842757"/>
    <w:rsid w:val="00843CC2"/>
    <w:rsid w:val="0085266D"/>
    <w:rsid w:val="008A5AA0"/>
    <w:rsid w:val="008D12BE"/>
    <w:rsid w:val="008E224D"/>
    <w:rsid w:val="0092530B"/>
    <w:rsid w:val="009341A6"/>
    <w:rsid w:val="0094208C"/>
    <w:rsid w:val="00942F17"/>
    <w:rsid w:val="00943236"/>
    <w:rsid w:val="00952CEF"/>
    <w:rsid w:val="00955421"/>
    <w:rsid w:val="00962360"/>
    <w:rsid w:val="00990E9C"/>
    <w:rsid w:val="00994542"/>
    <w:rsid w:val="00994908"/>
    <w:rsid w:val="009B160B"/>
    <w:rsid w:val="009C237B"/>
    <w:rsid w:val="009C4DD1"/>
    <w:rsid w:val="009E5A93"/>
    <w:rsid w:val="009F3154"/>
    <w:rsid w:val="00A1211C"/>
    <w:rsid w:val="00A20113"/>
    <w:rsid w:val="00A20D78"/>
    <w:rsid w:val="00A2215F"/>
    <w:rsid w:val="00A22839"/>
    <w:rsid w:val="00A23E19"/>
    <w:rsid w:val="00A33185"/>
    <w:rsid w:val="00A53B04"/>
    <w:rsid w:val="00A661F4"/>
    <w:rsid w:val="00A66326"/>
    <w:rsid w:val="00A7098E"/>
    <w:rsid w:val="00A7271A"/>
    <w:rsid w:val="00A74D79"/>
    <w:rsid w:val="00A81E19"/>
    <w:rsid w:val="00A9723B"/>
    <w:rsid w:val="00AB795F"/>
    <w:rsid w:val="00AC6312"/>
    <w:rsid w:val="00AD1E77"/>
    <w:rsid w:val="00AD6D80"/>
    <w:rsid w:val="00B008A4"/>
    <w:rsid w:val="00B1160D"/>
    <w:rsid w:val="00B139FB"/>
    <w:rsid w:val="00B444E6"/>
    <w:rsid w:val="00B52011"/>
    <w:rsid w:val="00B53EFF"/>
    <w:rsid w:val="00B54AFA"/>
    <w:rsid w:val="00B671A4"/>
    <w:rsid w:val="00B804E8"/>
    <w:rsid w:val="00BC0AA1"/>
    <w:rsid w:val="00BC206C"/>
    <w:rsid w:val="00BC431A"/>
    <w:rsid w:val="00BD1396"/>
    <w:rsid w:val="00BF5AFA"/>
    <w:rsid w:val="00C006B2"/>
    <w:rsid w:val="00C01A35"/>
    <w:rsid w:val="00C03772"/>
    <w:rsid w:val="00C04EDA"/>
    <w:rsid w:val="00C119A2"/>
    <w:rsid w:val="00C53F1A"/>
    <w:rsid w:val="00C57267"/>
    <w:rsid w:val="00C616FF"/>
    <w:rsid w:val="00C62B63"/>
    <w:rsid w:val="00C72B5B"/>
    <w:rsid w:val="00C869F3"/>
    <w:rsid w:val="00CA23D0"/>
    <w:rsid w:val="00CC18AC"/>
    <w:rsid w:val="00CD7D5D"/>
    <w:rsid w:val="00CF0621"/>
    <w:rsid w:val="00CF0FC4"/>
    <w:rsid w:val="00CF6932"/>
    <w:rsid w:val="00D01FE3"/>
    <w:rsid w:val="00D0381E"/>
    <w:rsid w:val="00D06CA3"/>
    <w:rsid w:val="00D07F46"/>
    <w:rsid w:val="00D170E5"/>
    <w:rsid w:val="00D37F2F"/>
    <w:rsid w:val="00D415B9"/>
    <w:rsid w:val="00D528E8"/>
    <w:rsid w:val="00D771D0"/>
    <w:rsid w:val="00D835CF"/>
    <w:rsid w:val="00D91F2B"/>
    <w:rsid w:val="00DA176F"/>
    <w:rsid w:val="00DA26FB"/>
    <w:rsid w:val="00DA36BE"/>
    <w:rsid w:val="00DB2558"/>
    <w:rsid w:val="00DB6C3D"/>
    <w:rsid w:val="00DC5ACF"/>
    <w:rsid w:val="00DC698B"/>
    <w:rsid w:val="00DD3573"/>
    <w:rsid w:val="00DD7468"/>
    <w:rsid w:val="00DE25E9"/>
    <w:rsid w:val="00DE71D3"/>
    <w:rsid w:val="00DE72CF"/>
    <w:rsid w:val="00DF08A0"/>
    <w:rsid w:val="00E13BEF"/>
    <w:rsid w:val="00E70760"/>
    <w:rsid w:val="00E74447"/>
    <w:rsid w:val="00E9253C"/>
    <w:rsid w:val="00EB3CF0"/>
    <w:rsid w:val="00EB45B5"/>
    <w:rsid w:val="00EB5065"/>
    <w:rsid w:val="00EB5E57"/>
    <w:rsid w:val="00EB61DB"/>
    <w:rsid w:val="00ED1AD0"/>
    <w:rsid w:val="00ED4AFD"/>
    <w:rsid w:val="00ED6776"/>
    <w:rsid w:val="00EE4FBE"/>
    <w:rsid w:val="00F038A1"/>
    <w:rsid w:val="00F06D90"/>
    <w:rsid w:val="00F06E4E"/>
    <w:rsid w:val="00F238E0"/>
    <w:rsid w:val="00F51E01"/>
    <w:rsid w:val="00F5649A"/>
    <w:rsid w:val="00F67DC5"/>
    <w:rsid w:val="00F82342"/>
    <w:rsid w:val="00F877DB"/>
    <w:rsid w:val="00F91AE4"/>
    <w:rsid w:val="00F93C8B"/>
    <w:rsid w:val="00F959DD"/>
    <w:rsid w:val="00F960D5"/>
    <w:rsid w:val="00FB1231"/>
    <w:rsid w:val="00FC1C5C"/>
    <w:rsid w:val="00FE17E2"/>
    <w:rsid w:val="00FF6E4B"/>
    <w:rsid w:val="17F41994"/>
    <w:rsid w:val="224DF7B4"/>
    <w:rsid w:val="23B6646C"/>
    <w:rsid w:val="2697ADCA"/>
    <w:rsid w:val="2896C77B"/>
    <w:rsid w:val="2A3297DC"/>
    <w:rsid w:val="2D363C95"/>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54dead1c044bf3cf1426d7343f24824f">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a56b99441329c4257e681e6456b5fefe"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AD9C20F3-7DD3-4EF3-944E-05BD0019E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418</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Miriam Wearing</cp:lastModifiedBy>
  <cp:revision>3</cp:revision>
  <cp:lastPrinted>2014-10-31T16:34:00Z</cp:lastPrinted>
  <dcterms:created xsi:type="dcterms:W3CDTF">2022-11-18T12:19:00Z</dcterms:created>
  <dcterms:modified xsi:type="dcterms:W3CDTF">2022-11-18T14:17:00Z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108;#Cabinet Report Template|b79b58f4-03f4-47dd-bec7-7bae4bc4af23</vt:lpwstr>
  </property>
</Properties>
</file>